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8789"/>
        </w:tabs>
        <w:spacing w:before="24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Odstoupení spotřebitele od kupní smlouvy</w:t>
      </w:r>
    </w:p>
    <w:p w:rsidR="00000000" w:rsidDel="00000000" w:rsidP="00000000" w:rsidRDefault="00000000" w:rsidRPr="00000000">
      <w:pPr>
        <w:tabs>
          <w:tab w:val="right" w:pos="8789"/>
        </w:tabs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Na Svobodě 3152/80, 72300  Ostrava – Martinov</w:t>
        <w:br w:type="textWrapping"/>
        <w:t xml:space="preserve">Telefonní číslo: +420 734 443 542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 spotřebitel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kupujícího (email):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vráceného zboží: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vrácení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 spotřebitele: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prodávajícího:</w:t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LTRADE STORES s.r.o., Na Svobodě 3152/80, 723 00  Ostrava - Martinov, Česká republika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web: www.ltradestores.com, email: info@ltradestores.com, tel.: +420 734 443 542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Bankovní spojení: Raiffeisenbank, a.s., Číslo účtu: 7350023001/5500, IBAN: CZ2855000000007350023001, SWIFT: RZBCCZPP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Kupující spotřebitel nebo jen spotřebitel je osoba, která při uzavírání a plnění smlouvy nejedná v rámci své obchodní nebo jiné podnikatelské činnosti (čl. 1.2 obchodních podmínek).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Tato část je nepovinná. Napomáhá nám k zlepšení kvality zboží a služeb.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3794768" cy="12801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