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Reklamační řád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(dále jen „</w:t>
      </w:r>
      <w:r w:rsidDel="00000000" w:rsidR="00000000" w:rsidRPr="00000000">
        <w:rPr>
          <w:rFonts w:ascii="Verdana" w:cs="Verdana" w:eastAsia="Verdana" w:hAnsi="Verdana"/>
          <w:b w:val="1"/>
          <w:sz w:val="20"/>
          <w:szCs w:val="20"/>
          <w:rtl w:val="0"/>
        </w:rPr>
        <w:t xml:space="preserve">reklamační řád</w:t>
      </w:r>
      <w:r w:rsidDel="00000000" w:rsidR="00000000" w:rsidRPr="00000000">
        <w:rPr>
          <w:rFonts w:ascii="Verdana" w:cs="Verdana" w:eastAsia="Verdana" w:hAnsi="Verdana"/>
          <w:b w:val="0"/>
          <w:sz w:val="20"/>
          <w:szCs w:val="20"/>
          <w:rtl w:val="0"/>
        </w:rPr>
        <w:t xml:space="preserve">“) obchodní společnosti LTRADE STORES s.r.o., se sídlem Na Svobodě 3152/80, 723 00  Ostrava - Martinov,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vztahy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při uplatňovaní práv z odpovědnosti za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kupujícího z vadného plnění (dále jen „</w:t>
      </w:r>
      <w:r w:rsidDel="00000000" w:rsidR="00000000" w:rsidRPr="00000000">
        <w:rPr>
          <w:rFonts w:ascii="Verdana" w:cs="Verdana" w:eastAsia="Verdana" w:hAnsi="Verdana"/>
          <w:b w:val="1"/>
          <w:sz w:val="20"/>
          <w:szCs w:val="20"/>
          <w:rtl w:val="0"/>
        </w:rPr>
        <w:t xml:space="preserve">reklamace</w:t>
      </w:r>
      <w:r w:rsidDel="00000000" w:rsidR="00000000" w:rsidRPr="00000000">
        <w:rPr>
          <w:rFonts w:ascii="Verdana" w:cs="Verdana" w:eastAsia="Verdana" w:hAnsi="Verdana"/>
          <w:b w:val="0"/>
          <w:sz w:val="20"/>
          <w:szCs w:val="20"/>
          <w:rtl w:val="0"/>
        </w:rPr>
        <w:t xml:space="preserv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neodpovídá za vady v těchto případech:</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je-li vada na věci v době převzetí a pro takovou vadu je sjednána sleva z kupní ceny,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jde-li o zboží použité a vada odpovídá míře používání nebo opotřebení, které mělo zboží při převzetí kupujícím,</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na věci opotřebením způsobeným obvyklým užíváním, nebo vyplývá-li to z povahy věci (např. uplynutím životnosti),</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způsobena kupujícím a vznikla nesprávným užíváním, skladováním, nesprávnou údržbou, zásahem kupujícího či mechanickým poškozením,</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v důsledku vnější události mimo vliv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Uplatnění reklamace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Lhůta pro uplatnění práv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v případě výměny zboží v rámci vyřízení reklamace neběží nová lhůta pro uplatnění práv z vadného plnění. Lhůta skončí 24 měsíců od převzetí po koupi reklamovaného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Lhůtu k uplatnění práv z vad nelze považovat za stanovení životnosti zboží, ta se liší s ohledem na vlastnosti výrobku, jeho údržbu a správnost a intenzitu užívání nebo dohodu mezi kupujícím a prodávajícím.</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Vyřízení reklamace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Jakost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prohlašuje, že zboží předává kupujícímu v souladu s ustanovením § 2161 občanského zákoníku, tedy: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má vlastnosti, které si kupující s prodávajícím ujednali, a chybí-li ujednání,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se hodí k účelu, který pro její použití prodávající uvádí nebo ke kterému se věc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je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zboží při převzetí kupujícím neodpovídá požadavkům v čl. 5.1 reklamačního řádu,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věc byla vadná již při převzetí.</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Odpovědnost prodávajícího za vadu, která je podstatným a nepodstatným porušením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gjdgxs" w:id="0"/>
      <w:bookmarkEnd w:id="0"/>
      <w:r w:rsidDel="00000000" w:rsidR="00000000" w:rsidRPr="00000000">
        <w:rPr>
          <w:rFonts w:ascii="Verdana" w:cs="Verdana" w:eastAsia="Verdana" w:hAnsi="Verdana"/>
          <w:b w:val="0"/>
          <w:sz w:val="20"/>
          <w:szCs w:val="20"/>
          <w:rtl w:val="0"/>
        </w:rPr>
        <w:t xml:space="preserve">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Právo na dodání nové bezvadné věci, výměnu součásti, slevu z ceny nebo odstoupení od smlouvy má kupující bez ohledu na charakter vady, pokud nemůže věc řádně užívat pro opakovaný výskyt vady po opravě nebo pro větší počet vad.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Náklady reklamace a řešení sporů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reklamace uznána za oprávněnou, má kupující právo na úhradu účelně vynaložených nákladů spojených s uplatněním svého práva.</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prodávající reklamaci zamítne jako neoprávněnou, může se kupující, nebo po dohodě s prodávajícím obě strany, obrátit na soudního znalce z oboru a vyžádat si zpracování nezávislého odborného posouzení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Nedojde-li k dohodě mezi kupujícím a prodávajícím, může se kupující obracet na existující systémy mimosoudních řešení spotřebitelských, případně na příslušný soud.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Smluvní záruka za jakost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včetně jeho součástí je platný a účinný od </w:t>
      </w:r>
      <w:r w:rsidDel="00000000" w:rsidR="00000000" w:rsidRPr="00000000">
        <w:rPr>
          <w:rFonts w:ascii="Verdana" w:cs="Verdana" w:eastAsia="Verdana" w:hAnsi="Verdana"/>
          <w:sz w:val="20"/>
          <w:szCs w:val="20"/>
          <w:rtl w:val="0"/>
        </w:rPr>
        <w:t xml:space="preserve">4</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března</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reklamačních řádů včetně jejich součástí, přičemž jsou k dispozici v sídle společnosti nebo v elektronické podobě na webové stránce prodávajícího.</w:t>
      </w:r>
    </w:p>
    <w:sectPr>
      <w:headerReference r:id="rId5" w:type="default"/>
      <w:foot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LTRADE STORES s.r.o., Na Svobodě 3152/80, 723 00  Ostrava - Martinov, Česká republika</w:t>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web: www.ltradestores.com, email: info@ltradestores.com, tel.: +420 734 443 542</w:t>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before="0" w:line="240" w:lineRule="auto"/>
      <w:contextualSpacing w:val="0"/>
      <w:jc w:val="center"/>
    </w:pPr>
    <w:r w:rsidDel="00000000" w:rsidR="00000000" w:rsidRPr="00000000">
      <w:rPr>
        <w:rFonts w:ascii="Verdana" w:cs="Verdana" w:eastAsia="Verdana" w:hAnsi="Verdana"/>
        <w:b w:val="0"/>
        <w:sz w:val="12"/>
        <w:szCs w:val="12"/>
        <w:rtl w:val="0"/>
      </w:rPr>
      <w:t xml:space="preserve">Bankovní spojení: Raiffeisenbank, a.s., Číslo účtu: 7350023001/5500, IBAN: CZ2855000000007350023001, SWIFT: RZBCCZPP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